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30" w:rsidRDefault="003E5630" w:rsidP="003E5630">
      <w:pPr>
        <w:jc w:val="center"/>
      </w:pPr>
      <w:r>
        <w:rPr>
          <w:noProof/>
        </w:rPr>
        <w:drawing>
          <wp:inline distT="0" distB="0" distL="0" distR="0">
            <wp:extent cx="511810" cy="607060"/>
            <wp:effectExtent l="19050" t="0" r="254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108" w:type="dxa"/>
        <w:tblLayout w:type="fixed"/>
        <w:tblLook w:val="01E0"/>
      </w:tblPr>
      <w:tblGrid>
        <w:gridCol w:w="250"/>
        <w:gridCol w:w="647"/>
        <w:gridCol w:w="250"/>
        <w:gridCol w:w="1585"/>
        <w:gridCol w:w="370"/>
        <w:gridCol w:w="774"/>
        <w:gridCol w:w="250"/>
        <w:gridCol w:w="3677"/>
        <w:gridCol w:w="473"/>
        <w:gridCol w:w="1647"/>
      </w:tblGrid>
      <w:tr w:rsidR="003E5630" w:rsidTr="003E5630">
        <w:tblPrEx>
          <w:tblCellMar>
            <w:top w:w="0" w:type="dxa"/>
            <w:bottom w:w="0" w:type="dxa"/>
          </w:tblCellMar>
        </w:tblPrEx>
        <w:trPr>
          <w:trHeight w:val="1193"/>
        </w:trPr>
        <w:tc>
          <w:tcPr>
            <w:tcW w:w="9923" w:type="dxa"/>
            <w:gridSpan w:val="10"/>
          </w:tcPr>
          <w:p w:rsidR="003E5630" w:rsidRPr="00D7272D" w:rsidRDefault="003E5630" w:rsidP="00DC6FC2">
            <w:pPr>
              <w:jc w:val="center"/>
              <w:rPr>
                <w:rFonts w:ascii="Georgia" w:hAnsi="Georgia"/>
              </w:rPr>
            </w:pPr>
          </w:p>
          <w:p w:rsidR="003E5630" w:rsidRPr="007B7014" w:rsidRDefault="003E5630" w:rsidP="00DC6FC2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3E5630" w:rsidRPr="007B7014" w:rsidRDefault="003E5630" w:rsidP="00DC6FC2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3E5630" w:rsidRPr="007B7014" w:rsidRDefault="003E5630" w:rsidP="00DC6FC2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3E5630" w:rsidRPr="007B7014" w:rsidRDefault="003E5630" w:rsidP="00DC6FC2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3E5630" w:rsidRPr="007B7014" w:rsidRDefault="003E5630" w:rsidP="00DC6FC2">
            <w:pPr>
              <w:jc w:val="center"/>
            </w:pPr>
          </w:p>
          <w:p w:rsidR="003E5630" w:rsidRDefault="003E5630" w:rsidP="00DC6FC2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3E5630" w:rsidTr="003E5630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250" w:type="dxa"/>
            <w:vAlign w:val="bottom"/>
          </w:tcPr>
          <w:p w:rsidR="003E5630" w:rsidRDefault="003E5630" w:rsidP="00DC6FC2">
            <w:pPr>
              <w:jc w:val="right"/>
            </w:pPr>
            <w:r>
              <w:t>«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E5630" w:rsidRPr="001C2EB5" w:rsidRDefault="00AC13CB" w:rsidP="00DC6FC2">
            <w:pPr>
              <w:jc w:val="center"/>
            </w:pPr>
            <w:r>
              <w:t>21</w:t>
            </w:r>
          </w:p>
        </w:tc>
        <w:tc>
          <w:tcPr>
            <w:tcW w:w="250" w:type="dxa"/>
            <w:vAlign w:val="bottom"/>
          </w:tcPr>
          <w:p w:rsidR="003E5630" w:rsidRDefault="003E5630" w:rsidP="00DC6FC2">
            <w:r>
              <w:t>»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E5630" w:rsidRDefault="003E5630" w:rsidP="00DC6FC2">
            <w:pPr>
              <w:jc w:val="center"/>
            </w:pPr>
            <w:r>
              <w:t>февраля</w:t>
            </w:r>
          </w:p>
        </w:tc>
        <w:tc>
          <w:tcPr>
            <w:tcW w:w="370" w:type="dxa"/>
            <w:vAlign w:val="bottom"/>
          </w:tcPr>
          <w:p w:rsidR="003E5630" w:rsidRDefault="003E5630" w:rsidP="00DC6FC2">
            <w:pPr>
              <w:ind w:right="-108"/>
              <w:jc w:val="right"/>
            </w:pPr>
            <w:r>
              <w:t>20</w:t>
            </w:r>
          </w:p>
        </w:tc>
        <w:tc>
          <w:tcPr>
            <w:tcW w:w="774" w:type="dxa"/>
            <w:vAlign w:val="bottom"/>
          </w:tcPr>
          <w:p w:rsidR="003E5630" w:rsidRDefault="003E5630" w:rsidP="00DC6FC2">
            <w:r>
              <w:t>22 г.</w:t>
            </w:r>
          </w:p>
        </w:tc>
        <w:tc>
          <w:tcPr>
            <w:tcW w:w="250" w:type="dxa"/>
            <w:vAlign w:val="bottom"/>
          </w:tcPr>
          <w:p w:rsidR="003E5630" w:rsidRDefault="003E5630" w:rsidP="00DC6FC2"/>
        </w:tc>
        <w:tc>
          <w:tcPr>
            <w:tcW w:w="3677" w:type="dxa"/>
            <w:vAlign w:val="bottom"/>
          </w:tcPr>
          <w:p w:rsidR="003E5630" w:rsidRDefault="003E5630" w:rsidP="00DC6FC2"/>
        </w:tc>
        <w:tc>
          <w:tcPr>
            <w:tcW w:w="473" w:type="dxa"/>
            <w:vAlign w:val="bottom"/>
          </w:tcPr>
          <w:p w:rsidR="003E5630" w:rsidRDefault="003E5630" w:rsidP="00DC6FC2">
            <w:pPr>
              <w:jc w:val="center"/>
            </w:pPr>
            <w:r>
              <w:t>№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E5630" w:rsidRDefault="00AC13CB" w:rsidP="00DC6FC2">
            <w:pPr>
              <w:jc w:val="center"/>
            </w:pPr>
            <w:r>
              <w:t>22</w:t>
            </w:r>
            <w:r w:rsidR="003E5630">
              <w:t>-п</w:t>
            </w:r>
          </w:p>
        </w:tc>
      </w:tr>
      <w:tr w:rsidR="003E5630" w:rsidTr="003E5630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9923" w:type="dxa"/>
            <w:gridSpan w:val="10"/>
          </w:tcPr>
          <w:p w:rsidR="003E5630" w:rsidRDefault="003E5630" w:rsidP="00DC6FC2"/>
          <w:p w:rsidR="003E5630" w:rsidRDefault="003E5630" w:rsidP="00DC6FC2">
            <w:r>
              <w:t>п. Карымкары</w:t>
            </w:r>
          </w:p>
          <w:p w:rsidR="003E5630" w:rsidRDefault="003E5630" w:rsidP="00DC6FC2"/>
          <w:p w:rsidR="003E5630" w:rsidRDefault="003E5630" w:rsidP="00DC6FC2"/>
        </w:tc>
      </w:tr>
    </w:tbl>
    <w:p w:rsidR="003E5630" w:rsidRDefault="003E5630" w:rsidP="003E5630">
      <w:pPr>
        <w:pStyle w:val="ConsPlusTitle"/>
        <w:rPr>
          <w:rFonts w:ascii="Times New Roman" w:hAnsi="Times New Roman" w:cs="Times New Roman"/>
          <w:b w:val="0"/>
          <w:szCs w:val="28"/>
        </w:rPr>
      </w:pPr>
      <w:r w:rsidRPr="003E5630">
        <w:rPr>
          <w:rFonts w:ascii="Times New Roman" w:hAnsi="Times New Roman" w:cs="Times New Roman"/>
          <w:b w:val="0"/>
          <w:szCs w:val="28"/>
        </w:rPr>
        <w:t xml:space="preserve">Об утверждении порядка казначейского </w:t>
      </w:r>
    </w:p>
    <w:p w:rsidR="003E5630" w:rsidRPr="003E5630" w:rsidRDefault="003E5630" w:rsidP="003E5630">
      <w:pPr>
        <w:pStyle w:val="ConsPlusTitle"/>
        <w:rPr>
          <w:rFonts w:ascii="Times New Roman" w:hAnsi="Times New Roman" w:cs="Times New Roman"/>
          <w:b w:val="0"/>
          <w:sz w:val="22"/>
          <w:szCs w:val="28"/>
        </w:rPr>
      </w:pPr>
      <w:r w:rsidRPr="003E5630">
        <w:rPr>
          <w:rFonts w:ascii="Times New Roman" w:hAnsi="Times New Roman" w:cs="Times New Roman"/>
          <w:b w:val="0"/>
          <w:szCs w:val="28"/>
        </w:rPr>
        <w:t>сопровождения средств</w:t>
      </w:r>
    </w:p>
    <w:p w:rsidR="00E729D5" w:rsidRDefault="00E729D5"/>
    <w:p w:rsidR="003E5630" w:rsidRDefault="003E5630" w:rsidP="003E5630">
      <w:pPr>
        <w:pStyle w:val="ConsPlusNormal"/>
        <w:ind w:firstLine="709"/>
        <w:jc w:val="both"/>
      </w:pPr>
    </w:p>
    <w:p w:rsidR="003E5630" w:rsidRPr="003E5630" w:rsidRDefault="003E5630" w:rsidP="003E5630">
      <w:pPr>
        <w:pStyle w:val="ConsPlusNormal"/>
        <w:ind w:firstLine="709"/>
        <w:jc w:val="both"/>
      </w:pPr>
      <w:r w:rsidRPr="003E5630">
        <w:t xml:space="preserve">В соответствии с пунктом 5 статьи 242.23 Бюджетного кодекса Российской Федерации, постановлением Правительства Российской Федерации от 1 декабря 2021 года № 2155 "Об утверждении общих требований к порядку осуществления финансовыми органами субъектов Российской Федерации (муниципальных образований) казначейского сопровождения средств", </w:t>
      </w:r>
    </w:p>
    <w:p w:rsidR="003E5630" w:rsidRPr="003E5630" w:rsidRDefault="003E5630" w:rsidP="008A4A61">
      <w:pPr>
        <w:pStyle w:val="ConsPlusNormal"/>
        <w:numPr>
          <w:ilvl w:val="0"/>
          <w:numId w:val="3"/>
        </w:numPr>
        <w:jc w:val="both"/>
      </w:pPr>
      <w:r w:rsidRPr="003E5630">
        <w:t xml:space="preserve">Утвердить </w:t>
      </w:r>
      <w:hyperlink w:anchor="Par27" w:tooltip="ПОРЯДОК" w:history="1">
        <w:r w:rsidRPr="003E5630">
          <w:rPr>
            <w:color w:val="0000FF"/>
          </w:rPr>
          <w:t>порядок</w:t>
        </w:r>
      </w:hyperlink>
      <w:r w:rsidRPr="003E5630">
        <w:t xml:space="preserve"> казначейского сопровождения средств, согласно приложению.</w:t>
      </w:r>
    </w:p>
    <w:p w:rsidR="008A4A61" w:rsidRDefault="003E5630" w:rsidP="008A4A61">
      <w:pPr>
        <w:pStyle w:val="a5"/>
        <w:numPr>
          <w:ilvl w:val="0"/>
          <w:numId w:val="3"/>
        </w:numPr>
        <w:jc w:val="both"/>
      </w:pPr>
      <w:r w:rsidRPr="003E5630">
        <w:t xml:space="preserve"> </w:t>
      </w:r>
      <w:r w:rsidR="008A4A61">
        <w:t>Обнародовать постановление путем размещения на сайте сельского поселения Карымкары в сети «Интернет».</w:t>
      </w:r>
    </w:p>
    <w:p w:rsidR="003E5630" w:rsidRPr="003E5630" w:rsidRDefault="003E5630" w:rsidP="008A4A61">
      <w:pPr>
        <w:pStyle w:val="ConsPlusNormal"/>
        <w:numPr>
          <w:ilvl w:val="0"/>
          <w:numId w:val="3"/>
        </w:numPr>
        <w:jc w:val="both"/>
      </w:pPr>
      <w:r w:rsidRPr="003E5630">
        <w:t xml:space="preserve"> Настоящее постановление вступает в силу после его официального опубликова</w:t>
      </w:r>
      <w:r>
        <w:t xml:space="preserve">ния на официальном сайте сельского поселения Карымкары в информационно-телекоммуникационной сети </w:t>
      </w:r>
      <w:r w:rsidRPr="003E5630">
        <w:t>"</w:t>
      </w:r>
      <w:r>
        <w:t>Интернет</w:t>
      </w:r>
      <w:r w:rsidRPr="003E5630">
        <w:t>" и распространяется на правоотношения, возникшие с 1 января 2022 года.</w:t>
      </w:r>
    </w:p>
    <w:p w:rsidR="003E5630" w:rsidRPr="003E5630" w:rsidRDefault="003E5630" w:rsidP="008A4A61">
      <w:pPr>
        <w:pStyle w:val="ConsPlusNormal"/>
        <w:numPr>
          <w:ilvl w:val="0"/>
          <w:numId w:val="3"/>
        </w:numPr>
        <w:jc w:val="both"/>
      </w:pPr>
      <w:r w:rsidRPr="003E5630">
        <w:t>Контроль за выполнен</w:t>
      </w:r>
      <w:r>
        <w:t xml:space="preserve">ием постановления возложить на начальника </w:t>
      </w:r>
      <w:proofErr w:type="spellStart"/>
      <w:r>
        <w:t>финансово-экономичекого</w:t>
      </w:r>
      <w:proofErr w:type="spellEnd"/>
      <w:r>
        <w:t xml:space="preserve"> отдела администрации сельского поселения Карымкары – Куклину Валентину Алексеевну</w:t>
      </w:r>
      <w:r w:rsidRPr="003E5630">
        <w:t>.</w:t>
      </w:r>
    </w:p>
    <w:p w:rsidR="003E5630" w:rsidRPr="003E5630" w:rsidRDefault="003E5630" w:rsidP="003E5630">
      <w:pPr>
        <w:pStyle w:val="ConsPlusNormal"/>
        <w:ind w:firstLine="709"/>
        <w:jc w:val="both"/>
      </w:pPr>
    </w:p>
    <w:p w:rsidR="003E5630" w:rsidRDefault="003E5630" w:rsidP="003E5630">
      <w:pPr>
        <w:pStyle w:val="ConsPlusNormal"/>
      </w:pPr>
    </w:p>
    <w:p w:rsidR="003E5630" w:rsidRDefault="003E5630" w:rsidP="003E5630">
      <w:pPr>
        <w:pStyle w:val="ConsPlusNormal"/>
      </w:pPr>
    </w:p>
    <w:p w:rsidR="003E5630" w:rsidRPr="003E5630" w:rsidRDefault="003E5630" w:rsidP="003E5630">
      <w:pPr>
        <w:pStyle w:val="ConsPlusNormal"/>
      </w:pPr>
      <w:r>
        <w:t>Глава сельского поселения Карымкары</w:t>
      </w:r>
      <w:r>
        <w:tab/>
      </w:r>
      <w:r>
        <w:tab/>
      </w:r>
      <w:r>
        <w:tab/>
      </w:r>
      <w:r>
        <w:tab/>
      </w:r>
      <w:r>
        <w:tab/>
        <w:t>Ф.Н. Семенов</w:t>
      </w: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</w:pPr>
    </w:p>
    <w:p w:rsidR="008A4A61" w:rsidRDefault="008A4A61" w:rsidP="003E5630">
      <w:pPr>
        <w:pStyle w:val="ConsPlusNormal"/>
        <w:ind w:firstLine="709"/>
        <w:jc w:val="right"/>
        <w:outlineLvl w:val="0"/>
      </w:pPr>
    </w:p>
    <w:p w:rsidR="008A4A61" w:rsidRDefault="008A4A61" w:rsidP="003E5630">
      <w:pPr>
        <w:pStyle w:val="ConsPlusNormal"/>
        <w:ind w:firstLine="709"/>
        <w:jc w:val="right"/>
        <w:outlineLvl w:val="0"/>
      </w:pPr>
    </w:p>
    <w:p w:rsidR="003E5630" w:rsidRPr="003E5630" w:rsidRDefault="003E5630" w:rsidP="003E5630">
      <w:pPr>
        <w:pStyle w:val="ConsPlusNormal"/>
        <w:ind w:firstLine="709"/>
        <w:jc w:val="right"/>
        <w:outlineLvl w:val="0"/>
      </w:pPr>
      <w:r w:rsidRPr="003E5630">
        <w:lastRenderedPageBreak/>
        <w:t>Приложение</w:t>
      </w:r>
    </w:p>
    <w:p w:rsidR="003E5630" w:rsidRDefault="003E5630" w:rsidP="003E5630">
      <w:pPr>
        <w:pStyle w:val="ConsPlusNormal"/>
        <w:ind w:firstLine="709"/>
        <w:jc w:val="right"/>
      </w:pPr>
      <w:r w:rsidRPr="003E5630">
        <w:t xml:space="preserve">к постановлению </w:t>
      </w:r>
    </w:p>
    <w:p w:rsidR="003E5630" w:rsidRPr="003E5630" w:rsidRDefault="003E5630" w:rsidP="003E5630">
      <w:pPr>
        <w:pStyle w:val="ConsPlusNormal"/>
        <w:ind w:firstLine="709"/>
        <w:jc w:val="right"/>
      </w:pPr>
      <w:r w:rsidRPr="003E5630">
        <w:t>администрации</w:t>
      </w:r>
      <w:r>
        <w:t xml:space="preserve"> сельского поселения Карымкары</w:t>
      </w:r>
    </w:p>
    <w:p w:rsidR="003E5630" w:rsidRPr="003E5630" w:rsidRDefault="003E5630" w:rsidP="003E5630">
      <w:pPr>
        <w:pStyle w:val="ConsPlusNormal"/>
        <w:ind w:firstLine="709"/>
        <w:jc w:val="right"/>
      </w:pPr>
      <w:r w:rsidRPr="003E5630">
        <w:t xml:space="preserve">от </w:t>
      </w:r>
      <w:r>
        <w:t xml:space="preserve">21.01.2022 </w:t>
      </w:r>
      <w:r w:rsidRPr="003E5630">
        <w:t xml:space="preserve">№ </w:t>
      </w:r>
      <w:r>
        <w:t>22</w:t>
      </w:r>
    </w:p>
    <w:p w:rsidR="003E5630" w:rsidRPr="003E5630" w:rsidRDefault="003E5630" w:rsidP="003E5630">
      <w:pPr>
        <w:pStyle w:val="ConsPlusNormal"/>
        <w:ind w:firstLine="709"/>
      </w:pPr>
    </w:p>
    <w:p w:rsidR="008A4A61" w:rsidRDefault="008A4A61" w:rsidP="003E5630">
      <w:pPr>
        <w:pStyle w:val="ConsPlusTitle"/>
        <w:ind w:firstLine="709"/>
        <w:jc w:val="center"/>
        <w:rPr>
          <w:rFonts w:ascii="Times New Roman" w:hAnsi="Times New Roman" w:cs="Times New Roman"/>
        </w:rPr>
      </w:pPr>
      <w:bookmarkStart w:id="0" w:name="Par27"/>
      <w:bookmarkEnd w:id="0"/>
    </w:p>
    <w:p w:rsidR="003E5630" w:rsidRPr="003E5630" w:rsidRDefault="003E5630" w:rsidP="003E5630">
      <w:pPr>
        <w:pStyle w:val="ConsPlusTitle"/>
        <w:ind w:firstLine="709"/>
        <w:jc w:val="center"/>
        <w:rPr>
          <w:rFonts w:ascii="Times New Roman" w:hAnsi="Times New Roman" w:cs="Times New Roman"/>
        </w:rPr>
      </w:pPr>
      <w:r w:rsidRPr="003E5630">
        <w:rPr>
          <w:rFonts w:ascii="Times New Roman" w:hAnsi="Times New Roman" w:cs="Times New Roman"/>
        </w:rPr>
        <w:t>ПОРЯДОК</w:t>
      </w:r>
    </w:p>
    <w:p w:rsidR="003E5630" w:rsidRPr="003E5630" w:rsidRDefault="003E5630" w:rsidP="003E5630">
      <w:pPr>
        <w:pStyle w:val="ConsPlusTitle"/>
        <w:ind w:firstLine="709"/>
        <w:jc w:val="center"/>
        <w:rPr>
          <w:rFonts w:ascii="Times New Roman" w:hAnsi="Times New Roman" w:cs="Times New Roman"/>
        </w:rPr>
      </w:pPr>
      <w:r w:rsidRPr="003E5630">
        <w:rPr>
          <w:rFonts w:ascii="Times New Roman" w:hAnsi="Times New Roman" w:cs="Times New Roman"/>
        </w:rPr>
        <w:t>КАЗНАЧЕЙСКОГО СОПРОВОЖДЕНИЯ СРЕДСТВ</w:t>
      </w:r>
    </w:p>
    <w:p w:rsidR="003E5630" w:rsidRPr="003E5630" w:rsidRDefault="003E5630" w:rsidP="003E5630">
      <w:pPr>
        <w:pStyle w:val="ConsPlusNormal"/>
        <w:ind w:firstLine="709"/>
      </w:pP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1. </w:t>
      </w:r>
      <w:proofErr w:type="gramStart"/>
      <w:r w:rsidRPr="003E5630">
        <w:rPr>
          <w:color w:val="000000" w:themeColor="text1"/>
        </w:rPr>
        <w:t xml:space="preserve">Настоящий Порядок устанавливает порядок осуществления </w:t>
      </w:r>
      <w:r>
        <w:rPr>
          <w:color w:val="000000" w:themeColor="text1"/>
        </w:rPr>
        <w:t xml:space="preserve">финансово-экономическим отделом администрации сельского поселения Карымкары </w:t>
      </w:r>
      <w:r w:rsidRPr="003E5630">
        <w:rPr>
          <w:color w:val="000000" w:themeColor="text1"/>
        </w:rPr>
        <w:t xml:space="preserve">(далее -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) казначейского сопровождения средств, определенных законом о бюджете </w:t>
      </w:r>
      <w:r>
        <w:rPr>
          <w:color w:val="000000" w:themeColor="text1"/>
        </w:rPr>
        <w:t xml:space="preserve">сельского поселения Карымкары </w:t>
      </w:r>
      <w:r w:rsidRPr="003E5630">
        <w:rPr>
          <w:color w:val="000000" w:themeColor="text1"/>
        </w:rPr>
        <w:t>на текущий финансовый год и плановый период в соответствии со статьей 242.26 Бюджетного кодекса Российской Федерации, получаемых (полученных) участниками казначейского сопровождения из местного бюджета (далее - целевые средства, участник казначейского сопровождения) на основании:</w:t>
      </w:r>
      <w:proofErr w:type="gramEnd"/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bookmarkStart w:id="1" w:name="Par31"/>
      <w:bookmarkEnd w:id="1"/>
      <w:r w:rsidRPr="003E5630">
        <w:rPr>
          <w:color w:val="000000" w:themeColor="text1"/>
        </w:rPr>
        <w:t>- муниципальных контрактов о поставке товаров, выполнении работ, оказании услуг (далее - муниципальные контракты);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bookmarkStart w:id="2" w:name="Par32"/>
      <w:bookmarkEnd w:id="2"/>
      <w:r w:rsidRPr="003E5630">
        <w:rPr>
          <w:color w:val="000000" w:themeColor="text1"/>
        </w:rPr>
        <w:t xml:space="preserve">- договоров (соглашений) о предоставлении субсидий, договоров о предоставлении бюджетных инвестиций в соответствии со статьей 80 Бюджетного кодекса Российской Федерации, договоров о предоставлении взносов в уставные (складочные) капиталы (вкладов в имущество) юридических лиц (их дочерних обществ), источником финансового </w:t>
      </w:r>
      <w:proofErr w:type="gramStart"/>
      <w:r w:rsidRPr="003E5630">
        <w:rPr>
          <w:color w:val="000000" w:themeColor="text1"/>
        </w:rPr>
        <w:t>обеспечения</w:t>
      </w:r>
      <w:proofErr w:type="gramEnd"/>
      <w:r w:rsidRPr="003E5630">
        <w:rPr>
          <w:color w:val="000000" w:themeColor="text1"/>
        </w:rPr>
        <w:t xml:space="preserve"> исполнения которых являются субсидии и бюджетные инвестиции, указанные в настоящем абзаце (далее - договоры (соглашения);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proofErr w:type="gramStart"/>
      <w:r w:rsidRPr="003E5630">
        <w:rPr>
          <w:color w:val="000000" w:themeColor="text1"/>
        </w:rPr>
        <w:t xml:space="preserve">- контрактов (договоров) о поставке товаров, выполнении работ, оказании услуг, источником финансового обеспечения исполнения обязательств по которым являются средства, предоставленные в рамках исполнения муниципальных контрактов, договоров (соглашений), указанных в </w:t>
      </w:r>
      <w:hyperlink w:anchor="Par31" w:tooltip="- муниципальных контрактов о поставке товаров, выполнении работ, оказании услуг (далее - муниципальные контракты);" w:history="1">
        <w:r w:rsidRPr="003E5630">
          <w:rPr>
            <w:color w:val="000000" w:themeColor="text1"/>
          </w:rPr>
          <w:t>абзацах втором</w:t>
        </w:r>
      </w:hyperlink>
      <w:r w:rsidRPr="003E5630">
        <w:rPr>
          <w:color w:val="000000" w:themeColor="text1"/>
        </w:rPr>
        <w:t xml:space="preserve"> и </w:t>
      </w:r>
      <w:hyperlink w:anchor="Par32" w:tooltip="- договоров (соглашений) о предоставлении субсидий, договоров о предоставлении бюджетных инвестиций в соответствии со статьей 80 Бюджетного кодекса Российской Федерации, договоров о предоставлении взносов в уставные (складочные) капиталы (вкладов в имущество) " w:history="1">
        <w:r w:rsidRPr="003E5630">
          <w:rPr>
            <w:color w:val="000000" w:themeColor="text1"/>
          </w:rPr>
          <w:t>третьем</w:t>
        </w:r>
      </w:hyperlink>
      <w:r w:rsidRPr="003E5630">
        <w:rPr>
          <w:color w:val="000000" w:themeColor="text1"/>
        </w:rPr>
        <w:t xml:space="preserve"> настоящего пункта (далее - контракт (договор).</w:t>
      </w:r>
      <w:proofErr w:type="gramEnd"/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2. </w:t>
      </w:r>
      <w:proofErr w:type="gramStart"/>
      <w:r w:rsidRPr="003E5630">
        <w:rPr>
          <w:color w:val="000000" w:themeColor="text1"/>
        </w:rPr>
        <w:t>Положения настоящего Порядка, касающиеся договоров (соглашений), контрактов (договоров), распространяются на концессионные соглашения, соглашения о государственно-частном партнерстве, контракты (договоры), источником финансового обеспечения которых являются указанные соглашения, если федеральными законами или решениями Правительства Российской Федерации, предусмотренными подпунктом 2 пункта 1 статьи 242.26 Бюджетного кодекса Российской Федерации, установлены требования об осуществлении казначейского сопровождения целевых средств, предоставляемых на основании таких соглашений.</w:t>
      </w:r>
      <w:proofErr w:type="gramEnd"/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3. Муниципальные контракты, договоры (соглашения), контракты (договоры) должны </w:t>
      </w:r>
      <w:proofErr w:type="gramStart"/>
      <w:r w:rsidRPr="003E5630">
        <w:rPr>
          <w:color w:val="000000" w:themeColor="text1"/>
        </w:rPr>
        <w:t>содержать</w:t>
      </w:r>
      <w:proofErr w:type="gramEnd"/>
      <w:r w:rsidRPr="003E5630">
        <w:rPr>
          <w:color w:val="000000" w:themeColor="text1"/>
        </w:rPr>
        <w:t xml:space="preserve"> в том числе положения: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- об открытии в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участниками казначейского сопровождения лицевых счетов для осуществления и отражения операций со средствами участников казначейского сопровождения в соответствии с порядком открытия лицевых счетов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участникам казначейского сопровождения, установленном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>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- о предоставлении в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документов, установленных порядком осуществления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санкционирования операций со средствами участников казначейского сопровождения при казначейском сопровождении целевых средств, утвержденным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в соответствии с пунктом 5 статьи 242.23 Бюджетного кодекса Российской Федерации (далее - порядок санкционирования);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- об указании в контрактах (договорах), распоряжениях, а также документах, установленных порядком санкционирования, идентификатора муниципального контракта, договора (соглашения) о предоставлении субсидий, договоров о предоставлении бюджетных инвестиций в соответствии со статьей 80 Бюджетного </w:t>
      </w:r>
      <w:r w:rsidRPr="003E5630">
        <w:rPr>
          <w:color w:val="000000" w:themeColor="text1"/>
        </w:rPr>
        <w:lastRenderedPageBreak/>
        <w:t>кодекса Российской Федерации, сформированного в порядке, установленном Министерством финансов Российской Федерации;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- о ведении раздельного учета результатов финансово-хозяйственной деятельности по каждому муниципальному контракту, договору (соглашению), контракту (договору) в соответствии с порядком, установленным Правительством Российской Федерации;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- о формировании в установленных Правительством Российской Федерации случаях информации о структуре цены муниципального контракта, контракта (договора), суммы средств, предусмотренной договором (соглашением) в порядке и по форме, установленным Министерством финансов Российской Федерации;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- о соблюдении запретов на перечисление сре</w:t>
      </w:r>
      <w:proofErr w:type="gramStart"/>
      <w:r w:rsidRPr="003E5630">
        <w:rPr>
          <w:color w:val="000000" w:themeColor="text1"/>
        </w:rPr>
        <w:t>дств с л</w:t>
      </w:r>
      <w:proofErr w:type="gramEnd"/>
      <w:r w:rsidRPr="003E5630">
        <w:rPr>
          <w:color w:val="000000" w:themeColor="text1"/>
        </w:rPr>
        <w:t>ицевого счета, предназначенного для учета операций со средствами участников казначейского сопровождения, установленных пунктом 3 статьи 242.23 Бюджетного кодекса Российской Федерации;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- о соблюдении, в случаях и порядке, установленными Правительством Российской Федерации, положений по расширенному казначейскому сопровождению в соответствии со статьей 242.24 Бюджетного кодекса Российской Федерации.</w:t>
      </w:r>
    </w:p>
    <w:p w:rsidR="008A4A61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bookmarkStart w:id="3" w:name="Par43"/>
      <w:bookmarkEnd w:id="3"/>
      <w:r w:rsidRPr="003E5630">
        <w:rPr>
          <w:color w:val="000000" w:themeColor="text1"/>
        </w:rPr>
        <w:t xml:space="preserve">4. Операции с целевыми средствами участника казначейского сопровождения </w:t>
      </w:r>
    </w:p>
    <w:p w:rsidR="003E5630" w:rsidRPr="003E5630" w:rsidRDefault="003E5630" w:rsidP="008A4A61">
      <w:pPr>
        <w:pStyle w:val="ConsPlusNormal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осуществляются на казначейском счете для осуществления и отражения операций с денежными средствами участников казначейского сопровождения, открываемом в Управлении Федерального казначейства по Ханты-Мансийскому автономному округу - Югре (далее - Управление Федерального казначейства), на лицевом счете участника казначейского сопровождения (далее - лицевой счет), открываемом в порядке, установленном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>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5. При открытии в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лицевых счетов и осуществлении операций на указанных лицевых счетах Управлением Федерального казначейства осуществляется проведение бюджетного мониторинга в порядке, установленном Правительством Российской Федерации в соответствии со статьей 242.13-1 Бюджетного кодекса Российской Федерации.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6. Операции с целевыми средствами, отраженными на лицевых счетах, проводятся после осуществления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санкционирования расходов в соответствии с порядком санкционирования.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7. При казначейском сопровождении ведение и использование лицевого счета (режим лицевого счета), на котором осуществляются операции, указанные в </w:t>
      </w:r>
      <w:hyperlink w:anchor="Par43" w:tooltip="4. Операции с целевыми средствами участника казначейского сопровождения осуществляются на казначейском счете для осуществления и отражения операций с денежными средствами участников казначейского сопровождения, открываемом в Управлении Федерального казначейств" w:history="1">
        <w:r w:rsidRPr="003E5630">
          <w:rPr>
            <w:color w:val="000000" w:themeColor="text1"/>
          </w:rPr>
          <w:t>пункте 4</w:t>
        </w:r>
      </w:hyperlink>
      <w:r w:rsidRPr="003E5630">
        <w:rPr>
          <w:color w:val="000000" w:themeColor="text1"/>
        </w:rPr>
        <w:t xml:space="preserve"> настоящего Порядка, участники казначейского сопровождения обязаны соблюдать требования, предусмотренные пунктом 3 статьи 242.23 Бюджетного кодекса Российской Федерации, устанавливающие запрет на перечисление сре</w:t>
      </w:r>
      <w:proofErr w:type="gramStart"/>
      <w:r w:rsidRPr="003E5630">
        <w:rPr>
          <w:color w:val="000000" w:themeColor="text1"/>
        </w:rPr>
        <w:t>дств с л</w:t>
      </w:r>
      <w:proofErr w:type="gramEnd"/>
      <w:r w:rsidRPr="003E5630">
        <w:rPr>
          <w:color w:val="000000" w:themeColor="text1"/>
        </w:rPr>
        <w:t>ицевого счета.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В дополнение к условиям, установленным пунктом 3 статьи 242.23 Бюджетного кодекса Российской Федерации, в муниципальных контрактах, договорах (соглашениях), контрактах (договорах) предусматривается соблюдение условий: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- о запрете осуществления операций на лицевом счете, об отказе в осуществлении операций на лицевом счете при наличии оснований, указанных в пунктах 10 и 11 статьи 242.13-1 Бюджетного кодекса Российской Федерации соответственно, а также о приостановлении операций на лицевом счете в соответствии с пунктом 3 указанной статьи в порядке, предусмотренном Правительством Российской Федерации;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- о перечислении целевых средств на счета, открытые участнику казначейского сопровождения в учреждении Центрального банка Российской Федерации или в кредитной организации (далее - банк), при оплате обязательств, предусмотренных подпунктом 3 пункта 3 статьи 242.23 Бюджетного кодекса Российской Федерации, а также обязательств по накладным расходам, связанным с исполнением муниципального контракта, договора (соглашения), контракта (договора), в соответствии с порядком санкционирования.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lastRenderedPageBreak/>
        <w:t xml:space="preserve">8.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осуществляет расширенное казначейское сопровождение целевых сре</w:t>
      </w:r>
      <w:proofErr w:type="gramStart"/>
      <w:r w:rsidRPr="003E5630">
        <w:rPr>
          <w:color w:val="000000" w:themeColor="text1"/>
        </w:rPr>
        <w:t>дств в сл</w:t>
      </w:r>
      <w:proofErr w:type="gramEnd"/>
      <w:r w:rsidRPr="003E5630">
        <w:rPr>
          <w:color w:val="000000" w:themeColor="text1"/>
        </w:rPr>
        <w:t>учаях и в порядке, установленными Правилами расширенного казначейского сопровождения, утвержденными постановлением Правительства Российской Федерации от 24 ноября 2021 года N 2024 "О правилах казначейского сопровождения".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9. Казначейское сопровождение целевых средств, предоставляемых на основании муниципальных контрактов, договоров (соглашений), контрактов (договоров), содержащих сведения,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 (далее - сведения, составляющие государственную тайну), осуществляется с соблюдением требований, установленных законодательством Российской Федерации о защите государственной и иной охраняемой законом тайны.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10. </w:t>
      </w:r>
      <w:proofErr w:type="gramStart"/>
      <w:r w:rsidRPr="003E5630">
        <w:rPr>
          <w:color w:val="000000" w:themeColor="text1"/>
        </w:rPr>
        <w:t xml:space="preserve">При казначейском сопровождении обмен документами между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>, получателем средств местного бюджета, до которого доведены лимиты бюджетных обязательств на предоставление субсидий или бюджетных инвестиций (далее - получатель бюджетных средств), на заключение муниципальных контрактов, и участником казначейского сопровождения осуществляется с применением усиленной квалифицированной электронной подписи лица, уполномоченного действовать от имени получателя бюджетных средств, муниципального заказчика или участника казначейского сопровождения (далее - электронная подпись).</w:t>
      </w:r>
      <w:proofErr w:type="gramEnd"/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В случае обмена документами, содержащими сведения, составляющие государственную тайну, а также в случае отсутствия у участника казначейского сопровождения технической возможности информационного обмена с применением электронной подписи документооборот осуществляется на бумажном носителе с одновременным представлением документов на машинном носителе.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>Представление и хранение документов, предусмотренных настоящим Порядком, содержащих сведения, составляющие государственную тайну, осуществляется с соблюдением требований, установленных законодательством Российской Федерации о защите государственной и иной охраняемой законом тайны.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11. </w:t>
      </w:r>
      <w:proofErr w:type="gramStart"/>
      <w:r w:rsidRPr="003E5630">
        <w:rPr>
          <w:color w:val="000000" w:themeColor="text1"/>
        </w:rPr>
        <w:t xml:space="preserve">Информация о муниципальных контрактах, договорах (соглашениях), контрактах (договорах), о лицевых счетах и об операциях по зачислению и списанию целевых средств, отраженных на лицевых счетах, в порядке, установленном Федеральным казначейством, ежедневно (в рабочие дни) предоставляется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в подсистему информационно-аналитического обеспечения государственной интегрированной информационной системы управления общественными финансами "Электронный бюджет", оператором которой является Федеральное казначейство.</w:t>
      </w:r>
      <w:proofErr w:type="gramEnd"/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</w:p>
    <w:p w:rsidR="003E5630" w:rsidRPr="003E5630" w:rsidRDefault="003E5630" w:rsidP="003E5630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3E5630">
        <w:rPr>
          <w:rFonts w:ascii="Times New Roman" w:hAnsi="Times New Roman" w:cs="Times New Roman"/>
          <w:color w:val="000000" w:themeColor="text1"/>
        </w:rPr>
        <w:t>Особенности казначейского сопровождения</w:t>
      </w:r>
    </w:p>
    <w:p w:rsidR="003E5630" w:rsidRPr="003E5630" w:rsidRDefault="003E5630" w:rsidP="003E5630">
      <w:pPr>
        <w:pStyle w:val="ConsPlusTitle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3E5630">
        <w:rPr>
          <w:rFonts w:ascii="Times New Roman" w:hAnsi="Times New Roman" w:cs="Times New Roman"/>
          <w:color w:val="000000" w:themeColor="text1"/>
        </w:rPr>
        <w:t>целевых средств, предоставляемых на основании соглашений</w:t>
      </w:r>
    </w:p>
    <w:p w:rsidR="003E5630" w:rsidRPr="003E5630" w:rsidRDefault="003E5630" w:rsidP="003E5630">
      <w:pPr>
        <w:pStyle w:val="ConsPlusTitle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3E5630">
        <w:rPr>
          <w:rFonts w:ascii="Times New Roman" w:hAnsi="Times New Roman" w:cs="Times New Roman"/>
          <w:color w:val="000000" w:themeColor="text1"/>
        </w:rPr>
        <w:t>о предоставлении субсидий юридическим лицам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bookmarkStart w:id="4" w:name="Par61"/>
      <w:bookmarkEnd w:id="4"/>
      <w:r w:rsidRPr="003E5630">
        <w:rPr>
          <w:color w:val="000000" w:themeColor="text1"/>
        </w:rPr>
        <w:t>12. При казначейском сопровождении субсидий, предоставляемых участникам казначейского сопровождения, предоставление таких субсидий осуществляется с лицевого счета получателя средств в пределах лимитов бюджетных обязательств, доведенных получателю средств местного бюджета для предоставления субсидии по кодам бюджетной классификации с указанием кодов дополнительной классификации расходов местного бюджета (мероприятия, типа средств).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13. </w:t>
      </w:r>
      <w:proofErr w:type="gramStart"/>
      <w:r w:rsidRPr="003E5630">
        <w:rPr>
          <w:color w:val="000000" w:themeColor="text1"/>
        </w:rPr>
        <w:t xml:space="preserve">Перечисление субсидий участникам казначейского сопровождения с лицевых счетов, указанных в </w:t>
      </w:r>
      <w:hyperlink w:anchor="Par61" w:tooltip="12. При казначейском сопровождении субсидий, предоставляемых участникам казначейского сопровождения, предоставление таких субсидий осуществляется с лицевого счета получателя средств в пределах лимитов бюджетных обязательств, доведенных получателю средств местн" w:history="1">
        <w:r w:rsidRPr="003E5630">
          <w:rPr>
            <w:color w:val="000000" w:themeColor="text1"/>
          </w:rPr>
          <w:t>пункте 12</w:t>
        </w:r>
      </w:hyperlink>
      <w:r w:rsidRPr="003E5630">
        <w:rPr>
          <w:color w:val="000000" w:themeColor="text1"/>
        </w:rPr>
        <w:t xml:space="preserve"> настоящего Порядка, на соответствующие лицевые счета, открытые в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для учета операций, осуществляемых бюджетными и автономными учреждениями, получателями средств из бюджета, получающих средства из местного бюджета на основании договоров (соглашений) о предоставлении субсидий, осуществляется в порядке, установленном </w:t>
      </w:r>
      <w:r w:rsidR="00AC13CB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, в пределах суммы, необходимой для </w:t>
      </w:r>
      <w:r w:rsidRPr="003E5630">
        <w:rPr>
          <w:color w:val="000000" w:themeColor="text1"/>
        </w:rPr>
        <w:lastRenderedPageBreak/>
        <w:t>оплаты денежных обязательств по расходам</w:t>
      </w:r>
      <w:proofErr w:type="gramEnd"/>
      <w:r w:rsidRPr="003E5630">
        <w:rPr>
          <w:color w:val="000000" w:themeColor="text1"/>
        </w:rPr>
        <w:t xml:space="preserve"> участника казначейского сопровождения, источником финансового обеспечения которых являются субсидии.</w:t>
      </w: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  <w:r w:rsidRPr="003E5630">
        <w:rPr>
          <w:color w:val="000000" w:themeColor="text1"/>
        </w:rPr>
        <w:t xml:space="preserve">14. </w:t>
      </w:r>
      <w:proofErr w:type="gramStart"/>
      <w:r w:rsidRPr="003E5630">
        <w:rPr>
          <w:color w:val="000000" w:themeColor="text1"/>
        </w:rPr>
        <w:t xml:space="preserve">Операции по списанию целевых средств, источником финансового обеспечения которых являются субсидии, предоставляемые участникам казначейского сопровождения, указанные в </w:t>
      </w:r>
      <w:hyperlink w:anchor="Par61" w:tooltip="12. При казначейском сопровождении субсидий, предоставляемых участникам казначейского сопровождения, предоставление таких субсидий осуществляется с лицевого счета получателя средств в пределах лимитов бюджетных обязательств, доведенных получателю средств местн" w:history="1">
        <w:r w:rsidRPr="003E5630">
          <w:rPr>
            <w:color w:val="000000" w:themeColor="text1"/>
          </w:rPr>
          <w:t>пункте 12</w:t>
        </w:r>
      </w:hyperlink>
      <w:r w:rsidRPr="003E5630">
        <w:rPr>
          <w:color w:val="000000" w:themeColor="text1"/>
        </w:rPr>
        <w:t xml:space="preserve"> настоящего Порядка, осуществляются не позднее 2-го рабочего дня, следующего за днем представления участником казначейского сопровождения в </w:t>
      </w:r>
      <w:r w:rsidR="008A4A61">
        <w:rPr>
          <w:color w:val="000000" w:themeColor="text1"/>
        </w:rPr>
        <w:t>ФЭО</w:t>
      </w:r>
      <w:r w:rsidRPr="003E5630">
        <w:rPr>
          <w:color w:val="000000" w:themeColor="text1"/>
        </w:rPr>
        <w:t xml:space="preserve"> распоряжений для оплаты денежных обязательств участника казначейского сопровождения после их проверки в соответствии с порядком санкционирования.</w:t>
      </w:r>
      <w:proofErr w:type="gramEnd"/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</w:p>
    <w:p w:rsidR="003E5630" w:rsidRPr="003E5630" w:rsidRDefault="003E5630" w:rsidP="003E5630">
      <w:pPr>
        <w:pStyle w:val="ConsPlusNormal"/>
        <w:ind w:firstLine="709"/>
        <w:jc w:val="both"/>
        <w:rPr>
          <w:color w:val="000000" w:themeColor="text1"/>
        </w:rPr>
      </w:pPr>
    </w:p>
    <w:p w:rsidR="003E5630" w:rsidRPr="003E5630" w:rsidRDefault="003E5630" w:rsidP="003E5630">
      <w:pPr>
        <w:pStyle w:val="ConsPlusNormal"/>
        <w:pBdr>
          <w:top w:val="single" w:sz="6" w:space="0" w:color="auto"/>
        </w:pBdr>
        <w:ind w:firstLine="709"/>
        <w:jc w:val="both"/>
        <w:rPr>
          <w:color w:val="000000" w:themeColor="text1"/>
        </w:rPr>
      </w:pPr>
    </w:p>
    <w:p w:rsidR="003E5630" w:rsidRPr="003E5630" w:rsidRDefault="003E5630" w:rsidP="003E5630">
      <w:pPr>
        <w:tabs>
          <w:tab w:val="left" w:pos="2268"/>
          <w:tab w:val="left" w:pos="6804"/>
        </w:tabs>
        <w:ind w:firstLine="709"/>
        <w:rPr>
          <w:color w:val="000000" w:themeColor="text1"/>
        </w:rPr>
      </w:pPr>
    </w:p>
    <w:p w:rsidR="003E5630" w:rsidRPr="003E5630" w:rsidRDefault="003E5630" w:rsidP="003E5630"/>
    <w:p w:rsidR="003E5630" w:rsidRPr="003E5630" w:rsidRDefault="003E5630"/>
    <w:sectPr w:rsidR="003E5630" w:rsidRPr="003E5630" w:rsidSect="003E563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D69C4"/>
    <w:multiLevelType w:val="hybridMultilevel"/>
    <w:tmpl w:val="C8B42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E62BE"/>
    <w:multiLevelType w:val="hybridMultilevel"/>
    <w:tmpl w:val="C54A22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57D1B"/>
    <w:multiLevelType w:val="hybridMultilevel"/>
    <w:tmpl w:val="C9648C92"/>
    <w:lvl w:ilvl="0" w:tplc="F85EB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E5630"/>
    <w:rsid w:val="00021183"/>
    <w:rsid w:val="000251A6"/>
    <w:rsid w:val="000251FD"/>
    <w:rsid w:val="00033831"/>
    <w:rsid w:val="000368F0"/>
    <w:rsid w:val="00050A1B"/>
    <w:rsid w:val="0005309D"/>
    <w:rsid w:val="00054473"/>
    <w:rsid w:val="0005598C"/>
    <w:rsid w:val="00055C81"/>
    <w:rsid w:val="0006097A"/>
    <w:rsid w:val="000718DD"/>
    <w:rsid w:val="00072797"/>
    <w:rsid w:val="00090A63"/>
    <w:rsid w:val="00094878"/>
    <w:rsid w:val="00096A65"/>
    <w:rsid w:val="000D00E0"/>
    <w:rsid w:val="000D0D31"/>
    <w:rsid w:val="000E13BA"/>
    <w:rsid w:val="000F3D98"/>
    <w:rsid w:val="00104B41"/>
    <w:rsid w:val="0012414D"/>
    <w:rsid w:val="0012777E"/>
    <w:rsid w:val="0013023C"/>
    <w:rsid w:val="00162BD3"/>
    <w:rsid w:val="001717D2"/>
    <w:rsid w:val="00175A85"/>
    <w:rsid w:val="00176AF6"/>
    <w:rsid w:val="00177CB4"/>
    <w:rsid w:val="00181622"/>
    <w:rsid w:val="00193E0D"/>
    <w:rsid w:val="001B1F36"/>
    <w:rsid w:val="001D0FC7"/>
    <w:rsid w:val="001E52CA"/>
    <w:rsid w:val="002022D7"/>
    <w:rsid w:val="00210455"/>
    <w:rsid w:val="0022186A"/>
    <w:rsid w:val="00245302"/>
    <w:rsid w:val="00274348"/>
    <w:rsid w:val="002A3DA2"/>
    <w:rsid w:val="002B7B65"/>
    <w:rsid w:val="002C6FAF"/>
    <w:rsid w:val="002D04F8"/>
    <w:rsid w:val="002D2267"/>
    <w:rsid w:val="002E4204"/>
    <w:rsid w:val="002F25AE"/>
    <w:rsid w:val="003114B9"/>
    <w:rsid w:val="00311DC9"/>
    <w:rsid w:val="00315B83"/>
    <w:rsid w:val="003161F1"/>
    <w:rsid w:val="003325B1"/>
    <w:rsid w:val="0035219F"/>
    <w:rsid w:val="00356224"/>
    <w:rsid w:val="0035639A"/>
    <w:rsid w:val="003649FE"/>
    <w:rsid w:val="0036591A"/>
    <w:rsid w:val="00367877"/>
    <w:rsid w:val="00382F98"/>
    <w:rsid w:val="00385741"/>
    <w:rsid w:val="003A5C46"/>
    <w:rsid w:val="003C0F5C"/>
    <w:rsid w:val="003C4228"/>
    <w:rsid w:val="003D7571"/>
    <w:rsid w:val="003E3DC0"/>
    <w:rsid w:val="003E5630"/>
    <w:rsid w:val="003F2508"/>
    <w:rsid w:val="003F4886"/>
    <w:rsid w:val="003F4F34"/>
    <w:rsid w:val="00404966"/>
    <w:rsid w:val="00420869"/>
    <w:rsid w:val="004319F3"/>
    <w:rsid w:val="004351AD"/>
    <w:rsid w:val="00452923"/>
    <w:rsid w:val="00453DD7"/>
    <w:rsid w:val="00457FAB"/>
    <w:rsid w:val="00477DAC"/>
    <w:rsid w:val="004C7E7C"/>
    <w:rsid w:val="004D30D9"/>
    <w:rsid w:val="004E6728"/>
    <w:rsid w:val="004F6008"/>
    <w:rsid w:val="004F6735"/>
    <w:rsid w:val="00520187"/>
    <w:rsid w:val="00524D8B"/>
    <w:rsid w:val="00530081"/>
    <w:rsid w:val="005469FA"/>
    <w:rsid w:val="005732CD"/>
    <w:rsid w:val="005818FD"/>
    <w:rsid w:val="00583330"/>
    <w:rsid w:val="00584590"/>
    <w:rsid w:val="0058593A"/>
    <w:rsid w:val="005962A1"/>
    <w:rsid w:val="005A1F63"/>
    <w:rsid w:val="005A4F3D"/>
    <w:rsid w:val="005C6D8E"/>
    <w:rsid w:val="005D1354"/>
    <w:rsid w:val="005E300B"/>
    <w:rsid w:val="005E35A3"/>
    <w:rsid w:val="005F7CFD"/>
    <w:rsid w:val="00603936"/>
    <w:rsid w:val="006065FB"/>
    <w:rsid w:val="00610925"/>
    <w:rsid w:val="00617C09"/>
    <w:rsid w:val="00630427"/>
    <w:rsid w:val="0064022D"/>
    <w:rsid w:val="0065127E"/>
    <w:rsid w:val="006547EA"/>
    <w:rsid w:val="00662720"/>
    <w:rsid w:val="00662A73"/>
    <w:rsid w:val="00674D4E"/>
    <w:rsid w:val="00680D94"/>
    <w:rsid w:val="00687F9D"/>
    <w:rsid w:val="006B0EC5"/>
    <w:rsid w:val="006D465C"/>
    <w:rsid w:val="006D6311"/>
    <w:rsid w:val="006D77FF"/>
    <w:rsid w:val="006E1330"/>
    <w:rsid w:val="006E3912"/>
    <w:rsid w:val="006F3A2F"/>
    <w:rsid w:val="006F751E"/>
    <w:rsid w:val="00705F56"/>
    <w:rsid w:val="00721552"/>
    <w:rsid w:val="00723EBA"/>
    <w:rsid w:val="00740F70"/>
    <w:rsid w:val="0075682B"/>
    <w:rsid w:val="00767585"/>
    <w:rsid w:val="0077308D"/>
    <w:rsid w:val="007772C0"/>
    <w:rsid w:val="007A144F"/>
    <w:rsid w:val="007B0CE6"/>
    <w:rsid w:val="007B1515"/>
    <w:rsid w:val="007C3B68"/>
    <w:rsid w:val="007D555A"/>
    <w:rsid w:val="007E0F7E"/>
    <w:rsid w:val="007E6B8E"/>
    <w:rsid w:val="00806C8A"/>
    <w:rsid w:val="00824392"/>
    <w:rsid w:val="00851F82"/>
    <w:rsid w:val="008563DC"/>
    <w:rsid w:val="00860757"/>
    <w:rsid w:val="00866282"/>
    <w:rsid w:val="00870EC3"/>
    <w:rsid w:val="008A4A61"/>
    <w:rsid w:val="008B0C3C"/>
    <w:rsid w:val="008B3C47"/>
    <w:rsid w:val="008C4652"/>
    <w:rsid w:val="008D4EFA"/>
    <w:rsid w:val="008F20F1"/>
    <w:rsid w:val="0093276F"/>
    <w:rsid w:val="00941CB3"/>
    <w:rsid w:val="00945405"/>
    <w:rsid w:val="00946C74"/>
    <w:rsid w:val="00957B17"/>
    <w:rsid w:val="00965627"/>
    <w:rsid w:val="009677B3"/>
    <w:rsid w:val="00976470"/>
    <w:rsid w:val="009B7847"/>
    <w:rsid w:val="009E5CD8"/>
    <w:rsid w:val="00A110F6"/>
    <w:rsid w:val="00A13172"/>
    <w:rsid w:val="00A1368D"/>
    <w:rsid w:val="00A234A3"/>
    <w:rsid w:val="00A44FBF"/>
    <w:rsid w:val="00A453E8"/>
    <w:rsid w:val="00A475F7"/>
    <w:rsid w:val="00A47C0F"/>
    <w:rsid w:val="00A50CDC"/>
    <w:rsid w:val="00A60C6D"/>
    <w:rsid w:val="00A612C0"/>
    <w:rsid w:val="00A75440"/>
    <w:rsid w:val="00A75F8D"/>
    <w:rsid w:val="00A77DC3"/>
    <w:rsid w:val="00A83F18"/>
    <w:rsid w:val="00A85D63"/>
    <w:rsid w:val="00A85EF7"/>
    <w:rsid w:val="00A94BB2"/>
    <w:rsid w:val="00AA382F"/>
    <w:rsid w:val="00AB35FB"/>
    <w:rsid w:val="00AB5F17"/>
    <w:rsid w:val="00AC13CB"/>
    <w:rsid w:val="00AE66EA"/>
    <w:rsid w:val="00AE6FF8"/>
    <w:rsid w:val="00AE7B2A"/>
    <w:rsid w:val="00AF487B"/>
    <w:rsid w:val="00B0034C"/>
    <w:rsid w:val="00B0647E"/>
    <w:rsid w:val="00B10FC5"/>
    <w:rsid w:val="00B166C5"/>
    <w:rsid w:val="00B22DFB"/>
    <w:rsid w:val="00B303F3"/>
    <w:rsid w:val="00B31DAE"/>
    <w:rsid w:val="00B4463A"/>
    <w:rsid w:val="00B50A19"/>
    <w:rsid w:val="00B520F7"/>
    <w:rsid w:val="00B657F1"/>
    <w:rsid w:val="00B7407D"/>
    <w:rsid w:val="00B9089A"/>
    <w:rsid w:val="00B90D1C"/>
    <w:rsid w:val="00B9230A"/>
    <w:rsid w:val="00B93E4F"/>
    <w:rsid w:val="00BB0813"/>
    <w:rsid w:val="00BB0B34"/>
    <w:rsid w:val="00BC14C2"/>
    <w:rsid w:val="00BC2D83"/>
    <w:rsid w:val="00BC39EA"/>
    <w:rsid w:val="00BC5BBA"/>
    <w:rsid w:val="00BD04C2"/>
    <w:rsid w:val="00BD22EE"/>
    <w:rsid w:val="00BE5B91"/>
    <w:rsid w:val="00C0454B"/>
    <w:rsid w:val="00C04F85"/>
    <w:rsid w:val="00C3742B"/>
    <w:rsid w:val="00C37A24"/>
    <w:rsid w:val="00C42CB2"/>
    <w:rsid w:val="00C45C3A"/>
    <w:rsid w:val="00C8128E"/>
    <w:rsid w:val="00C82510"/>
    <w:rsid w:val="00C91C34"/>
    <w:rsid w:val="00CC00CD"/>
    <w:rsid w:val="00CC1763"/>
    <w:rsid w:val="00CC1918"/>
    <w:rsid w:val="00CC2642"/>
    <w:rsid w:val="00CC3FD9"/>
    <w:rsid w:val="00CC7C39"/>
    <w:rsid w:val="00CE1F23"/>
    <w:rsid w:val="00CE7CAF"/>
    <w:rsid w:val="00CE7FC6"/>
    <w:rsid w:val="00D00181"/>
    <w:rsid w:val="00D007BA"/>
    <w:rsid w:val="00D0529C"/>
    <w:rsid w:val="00D221AE"/>
    <w:rsid w:val="00D3363C"/>
    <w:rsid w:val="00D36A43"/>
    <w:rsid w:val="00D4222D"/>
    <w:rsid w:val="00D647D6"/>
    <w:rsid w:val="00D66E50"/>
    <w:rsid w:val="00D728DD"/>
    <w:rsid w:val="00D73FE9"/>
    <w:rsid w:val="00D83853"/>
    <w:rsid w:val="00D853DD"/>
    <w:rsid w:val="00D874D8"/>
    <w:rsid w:val="00D914BE"/>
    <w:rsid w:val="00D95B2C"/>
    <w:rsid w:val="00DA39EB"/>
    <w:rsid w:val="00DB20FD"/>
    <w:rsid w:val="00DD0636"/>
    <w:rsid w:val="00DD16BF"/>
    <w:rsid w:val="00DD700B"/>
    <w:rsid w:val="00DE3617"/>
    <w:rsid w:val="00DE4487"/>
    <w:rsid w:val="00DE4576"/>
    <w:rsid w:val="00DF03B1"/>
    <w:rsid w:val="00E15724"/>
    <w:rsid w:val="00E23D96"/>
    <w:rsid w:val="00E6266B"/>
    <w:rsid w:val="00E729D5"/>
    <w:rsid w:val="00E76E68"/>
    <w:rsid w:val="00E77911"/>
    <w:rsid w:val="00E8032F"/>
    <w:rsid w:val="00E81479"/>
    <w:rsid w:val="00E917AB"/>
    <w:rsid w:val="00E94D53"/>
    <w:rsid w:val="00EA4488"/>
    <w:rsid w:val="00EA7A87"/>
    <w:rsid w:val="00EB4934"/>
    <w:rsid w:val="00F11A72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B1B26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6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6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basedOn w:val="a"/>
    <w:uiPriority w:val="99"/>
    <w:rsid w:val="003E5630"/>
    <w:pPr>
      <w:autoSpaceDE w:val="0"/>
      <w:autoSpaceDN w:val="0"/>
    </w:pPr>
    <w:rPr>
      <w:rFonts w:ascii="Arial" w:eastAsiaTheme="minorHAnsi" w:hAnsi="Arial" w:cs="Arial"/>
      <w:b/>
      <w:bCs/>
    </w:rPr>
  </w:style>
  <w:style w:type="paragraph" w:customStyle="1" w:styleId="ConsPlusNormal">
    <w:name w:val="ConsPlusNormal"/>
    <w:rsid w:val="003E56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A4A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2018</Words>
  <Characters>11507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2022-02-21T11:39:00Z</cp:lastPrinted>
  <dcterms:created xsi:type="dcterms:W3CDTF">2022-02-21T11:22:00Z</dcterms:created>
  <dcterms:modified xsi:type="dcterms:W3CDTF">2022-02-21T11:56:00Z</dcterms:modified>
</cp:coreProperties>
</file>